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jc w:val="center"/>
      </w:pPr>
      <w:r>
        <w:rPr>
          <w:rFonts w:ascii="Arial" w:hAnsi="Arial"/>
          <w:b/>
          <w:sz w:val="24"/>
          <w:u w:val="none"/>
        </w:rPr>
        <w:t>Square Pegs Round Holes – Safeguarding Policy V3</w:t>
      </w:r>
    </w:p>
    <w:p>
      <w:pPr>
        <w:spacing w:after="120"/>
        <w:jc w:val="center"/>
      </w:pPr>
      <w:r>
        <w:rPr>
          <w:rFonts w:ascii="Arial" w:hAnsi="Arial"/>
          <w:b w:val="0"/>
          <w:sz w:val="24"/>
          <w:u w:val="none"/>
        </w:rPr>
        <w:t>Updated: 25 August 2026</w:t>
      </w:r>
    </w:p>
    <w:p>
      <w:pPr>
        <w:spacing w:after="120"/>
        <w:jc w:val="center"/>
      </w:pPr>
      <w:r>
        <w:rPr>
          <w:rFonts w:ascii="Arial" w:hAnsi="Arial"/>
          <w:b w:val="0"/>
          <w:sz w:val="24"/>
          <w:u w:val="none"/>
        </w:rPr>
        <w:t>Review date: 25 August 2027</w:t>
      </w:r>
    </w:p>
    <w:p>
      <w:pPr>
        <w:pStyle w:val="Heading1"/>
        <w:spacing w:before="200" w:after="80"/>
      </w:pPr>
      <w:r>
        <w:rPr>
          <w:rFonts w:ascii="Arial" w:hAnsi="Arial"/>
          <w:b/>
          <w:sz w:val="24"/>
          <w:u w:val="none"/>
        </w:rPr>
        <w:t>Square Pegs Round Holes – Safeguarding Policy</w:t>
      </w:r>
    </w:p>
    <w:p>
      <w:pPr>
        <w:spacing w:after="120"/>
      </w:pPr>
      <w:r>
        <w:rPr>
          <w:rFonts w:ascii="Arial" w:hAnsi="Arial"/>
          <w:b w:val="0"/>
          <w:sz w:val="24"/>
          <w:u w:val="none"/>
        </w:rPr>
        <w:t>Square Pegs Round Holes CIC is fully committed to safeguarding and we believe that everyone has the right to be safe. Safeguarding is of paramount importance and we work tirelessly to ensure Square Pegs Round Holes CIC is at the forefront of safeguarding practice to protect those within our care as well as influence organisations and professionals to promote the safety and well-being of all children, young people and adults at risk.</w:t>
      </w:r>
    </w:p>
    <w:p>
      <w:pPr>
        <w:spacing w:after="120"/>
      </w:pPr>
      <w:r>
        <w:rPr>
          <w:rFonts w:ascii="Arial" w:hAnsi="Arial"/>
          <w:b w:val="0"/>
          <w:sz w:val="24"/>
          <w:u w:val="none"/>
        </w:rPr>
        <w:t>This policy is informed by current UK safeguarding legislation and statutory guidance, including the Children Act 1989 and 2004, the Care Act 2014, Working Together to Safeguard Children (HM Government) 2023, and the Care and Support Statutory Guidance.</w:t>
      </w:r>
    </w:p>
    <w:p>
      <w:pPr>
        <w:spacing w:after="120"/>
      </w:pPr>
      <w:r>
        <w:rPr>
          <w:rFonts w:ascii="Arial" w:hAnsi="Arial"/>
          <w:b w:val="0"/>
          <w:sz w:val="24"/>
          <w:u w:val="none"/>
        </w:rPr>
        <w:t>This policy sets out our expectations of safeguarding at Square Pegs Round Holes CIC and applies to everyone involved with Square Pegs Round Holes CIC. We all share a responsibility for promoting and protecting the safety and welfare of all children, young people and adults.</w:t>
      </w:r>
    </w:p>
    <w:p>
      <w:pPr>
        <w:spacing w:after="120"/>
      </w:pPr>
      <w:r>
        <w:rPr>
          <w:rFonts w:ascii="Arial" w:hAnsi="Arial"/>
          <w:b w:val="0"/>
          <w:sz w:val="24"/>
          <w:u w:val="none"/>
        </w:rPr>
        <w:t>Safeguarding responsibilities are recognised as a shared duty across the organisation and reflect statutory expectations placed on organisations working with children and adults.</w:t>
      </w:r>
    </w:p>
    <w:p>
      <w:pPr>
        <w:pStyle w:val="Heading1"/>
        <w:spacing w:before="200" w:after="80"/>
      </w:pPr>
      <w:r>
        <w:rPr>
          <w:rFonts w:ascii="Arial" w:hAnsi="Arial"/>
          <w:b/>
          <w:sz w:val="24"/>
          <w:u w:val="none"/>
        </w:rPr>
        <w:t>Safeguarding governance</w:t>
      </w:r>
    </w:p>
    <w:p>
      <w:pPr>
        <w:spacing w:after="120"/>
      </w:pPr>
      <w:r>
        <w:rPr>
          <w:rFonts w:ascii="Arial" w:hAnsi="Arial"/>
          <w:b w:val="0"/>
          <w:sz w:val="24"/>
          <w:u w:val="none"/>
        </w:rPr>
        <w:t>The Board of Directors has overall responsibility for ensuring effective safeguarding governance within Square Pegs Round Holes CIC. Day-to-day operational responsibility is delegated to the Designated Person; however, this does not remove the Board’s collective responsibility for safeguarding oversight.</w:t>
      </w:r>
    </w:p>
    <w:p>
      <w:pPr>
        <w:spacing w:after="120"/>
      </w:pPr>
      <w:r>
        <w:rPr>
          <w:rFonts w:ascii="Arial" w:hAnsi="Arial"/>
          <w:b w:val="0"/>
          <w:sz w:val="24"/>
          <w:u w:val="none"/>
        </w:rPr>
        <w:t>The Board will maintain appropriate oversight of safeguarding practice, risks, concerns and learning. Safeguarding performance and significant issues will be reported to the Board as appropriate, while maintaining necessary confidentiality. The Board will periodically consider safeguarding risks, training, emerging themes and lessons arising from concerns, incidents or near misses.</w:t>
      </w:r>
    </w:p>
    <w:p>
      <w:pPr>
        <w:pStyle w:val="Heading1"/>
        <w:spacing w:before="200" w:after="80"/>
      </w:pPr>
      <w:r>
        <w:rPr>
          <w:rFonts w:ascii="Arial" w:hAnsi="Arial"/>
          <w:b/>
          <w:sz w:val="24"/>
          <w:u w:val="none"/>
        </w:rPr>
        <w:t>Aims of the policy</w:t>
      </w:r>
    </w:p>
    <w:p>
      <w:pPr>
        <w:spacing w:after="120"/>
      </w:pPr>
      <w:r>
        <w:rPr>
          <w:rFonts w:ascii="Arial" w:hAnsi="Arial"/>
          <w:b w:val="0"/>
          <w:sz w:val="24"/>
          <w:u w:val="none"/>
        </w:rPr>
        <w:t>The aims of this policy are to:</w:t>
      </w:r>
    </w:p>
    <w:p>
      <w:pPr>
        <w:pStyle w:val="ListBullet"/>
        <w:spacing w:after="40"/>
      </w:pPr>
      <w:r>
        <w:rPr>
          <w:rFonts w:ascii="Arial" w:hAnsi="Arial"/>
          <w:sz w:val="24"/>
        </w:rPr>
        <w:t>outline our commitment and expectations</w:t>
      </w:r>
    </w:p>
    <w:p>
      <w:pPr>
        <w:pStyle w:val="ListBullet"/>
        <w:spacing w:after="40"/>
      </w:pPr>
      <w:r>
        <w:rPr>
          <w:rFonts w:ascii="Arial" w:hAnsi="Arial"/>
          <w:sz w:val="24"/>
        </w:rPr>
        <w:t>promote the highest safeguarding standards</w:t>
      </w:r>
    </w:p>
    <w:p>
      <w:pPr>
        <w:pStyle w:val="ListBullet"/>
        <w:spacing w:after="40"/>
      </w:pPr>
      <w:r>
        <w:rPr>
          <w:rFonts w:ascii="Arial" w:hAnsi="Arial"/>
          <w:sz w:val="24"/>
        </w:rPr>
        <w:t>ensure that staff are clear about what constitutes appropriate behaviour and professional boundaries</w:t>
      </w:r>
    </w:p>
    <w:p>
      <w:pPr>
        <w:spacing w:after="120"/>
      </w:pPr>
      <w:r>
        <w:rPr>
          <w:rFonts w:ascii="Arial" w:hAnsi="Arial"/>
          <w:b w:val="0"/>
          <w:sz w:val="24"/>
          <w:u w:val="none"/>
        </w:rPr>
        <w:t>The policy also aims to promote early identification of risk, timely intervention, and proportionate responses to safeguarding concerns.</w:t>
      </w:r>
    </w:p>
    <w:p>
      <w:pPr>
        <w:pStyle w:val="Heading1"/>
        <w:spacing w:before="200" w:after="80"/>
      </w:pPr>
      <w:r>
        <w:rPr>
          <w:rFonts w:ascii="Arial" w:hAnsi="Arial"/>
          <w:b/>
          <w:sz w:val="24"/>
          <w:u w:val="none"/>
        </w:rPr>
        <w:t>Principles</w:t>
      </w:r>
    </w:p>
    <w:p>
      <w:pPr>
        <w:pStyle w:val="ListBullet"/>
        <w:spacing w:after="40"/>
      </w:pPr>
      <w:r>
        <w:rPr>
          <w:rFonts w:ascii="Arial" w:hAnsi="Arial"/>
          <w:sz w:val="24"/>
        </w:rPr>
        <w:t>safeguarding is everyone’s responsibility</w:t>
      </w:r>
    </w:p>
    <w:p>
      <w:pPr>
        <w:pStyle w:val="ListBullet"/>
        <w:spacing w:after="40"/>
      </w:pPr>
      <w:r>
        <w:rPr>
          <w:rFonts w:ascii="Arial" w:hAnsi="Arial"/>
          <w:sz w:val="24"/>
        </w:rPr>
        <w:t>everyone has the right to be protected from abuse, mistreatment and exploitation</w:t>
      </w:r>
    </w:p>
    <w:p>
      <w:pPr>
        <w:pStyle w:val="ListBullet"/>
        <w:spacing w:after="40"/>
      </w:pPr>
      <w:r>
        <w:rPr>
          <w:rFonts w:ascii="Arial" w:hAnsi="Arial"/>
          <w:sz w:val="24"/>
        </w:rPr>
        <w:t>we strive to create a culture and environment where everyone is empowered to protect themselves and others</w:t>
      </w:r>
    </w:p>
    <w:p>
      <w:pPr>
        <w:pStyle w:val="ListBullet"/>
        <w:spacing w:after="40"/>
      </w:pPr>
      <w:r>
        <w:rPr>
          <w:rFonts w:ascii="Arial" w:hAnsi="Arial"/>
          <w:sz w:val="24"/>
        </w:rPr>
        <w:t>we actively promote working together to ensure all children, young people and adults are safeguarded</w:t>
      </w:r>
    </w:p>
    <w:p>
      <w:pPr>
        <w:pStyle w:val="ListBullet"/>
        <w:spacing w:after="40"/>
      </w:pPr>
      <w:r>
        <w:rPr>
          <w:rFonts w:ascii="Arial" w:hAnsi="Arial"/>
          <w:sz w:val="24"/>
        </w:rPr>
        <w:t>we have robust and transparent governance arrangements for safeguarding</w:t>
      </w:r>
    </w:p>
    <w:p>
      <w:pPr>
        <w:spacing w:after="120"/>
      </w:pPr>
      <w:r>
        <w:rPr>
          <w:rFonts w:ascii="Arial" w:hAnsi="Arial"/>
          <w:b w:val="0"/>
          <w:sz w:val="24"/>
          <w:u w:val="none"/>
        </w:rPr>
        <w:t>These principles reflect the six safeguarding principles set out in the Care Act 2014: empowerment, prevention, proportionality, protection, partnership and accountability.</w:t>
      </w:r>
    </w:p>
    <w:p>
      <w:pPr>
        <w:pStyle w:val="Heading1"/>
        <w:spacing w:before="200" w:after="80"/>
      </w:pPr>
      <w:r>
        <w:rPr>
          <w:rFonts w:ascii="Arial" w:hAnsi="Arial"/>
          <w:b/>
          <w:sz w:val="24"/>
          <w:u w:val="none"/>
        </w:rPr>
        <w:t>Safeguarding risk management</w:t>
      </w:r>
    </w:p>
    <w:p>
      <w:pPr>
        <w:spacing w:after="120"/>
      </w:pPr>
      <w:r>
        <w:rPr>
          <w:rFonts w:ascii="Arial" w:hAnsi="Arial"/>
          <w:b w:val="0"/>
          <w:sz w:val="24"/>
          <w:u w:val="none"/>
        </w:rPr>
        <w:t>Safeguarding risks will be considered as part of organisational and project risk assessments. Identified risks, including emerging risks associated with changes in delivery, participants, locations, partnerships, staffing or online activity, will be appropriately managed, recorded and reviewed.</w:t>
      </w:r>
    </w:p>
    <w:p>
      <w:pPr>
        <w:spacing w:after="120"/>
      </w:pPr>
      <w:r>
        <w:rPr>
          <w:rFonts w:ascii="Arial" w:hAnsi="Arial"/>
          <w:b w:val="0"/>
          <w:sz w:val="24"/>
          <w:u w:val="none"/>
        </w:rPr>
        <w:t>Where roles involve contact with children, young people or adults at risk, the organisation will consider the safeguarding risks associated with the role and whether the role is eligible for a Disclosure and Barring Service check at the appropriate level.</w:t>
      </w:r>
    </w:p>
    <w:p>
      <w:pPr>
        <w:pStyle w:val="Heading1"/>
        <w:spacing w:before="200" w:after="80"/>
      </w:pPr>
      <w:r>
        <w:rPr>
          <w:rFonts w:ascii="Arial" w:hAnsi="Arial"/>
          <w:b/>
          <w:sz w:val="24"/>
          <w:u w:val="none"/>
        </w:rPr>
        <w:t>Evaluation and review</w:t>
      </w:r>
    </w:p>
    <w:p>
      <w:pPr>
        <w:spacing w:after="120"/>
      </w:pPr>
      <w:r>
        <w:rPr>
          <w:rFonts w:ascii="Arial" w:hAnsi="Arial"/>
          <w:b w:val="0"/>
          <w:sz w:val="24"/>
          <w:u w:val="none"/>
        </w:rPr>
        <w:t>We will assess the implementation and effectiveness of this policy annually, or whenever there are changes in legislation, government or statutory guidance, personnel changes within the organisation or after managing a safeguarding concern.</w:t>
      </w:r>
    </w:p>
    <w:p>
      <w:pPr>
        <w:spacing w:after="120"/>
      </w:pPr>
      <w:r>
        <w:rPr>
          <w:rFonts w:ascii="Arial" w:hAnsi="Arial"/>
          <w:b w:val="0"/>
          <w:sz w:val="24"/>
          <w:u w:val="none"/>
        </w:rPr>
        <w:t>This includes reviewing learning from Safeguarding Adult Reviews, Serious Case Reviews, national safeguarding practice reviews, relevant case law, serious incidents and near misses.</w:t>
      </w:r>
    </w:p>
    <w:p>
      <w:pPr>
        <w:pStyle w:val="Heading1"/>
        <w:spacing w:before="200" w:after="80"/>
      </w:pPr>
      <w:r>
        <w:rPr>
          <w:rFonts w:ascii="Arial" w:hAnsi="Arial"/>
          <w:b/>
          <w:sz w:val="24"/>
          <w:u w:val="none"/>
        </w:rPr>
        <w:t>Designated Person</w:t>
      </w:r>
    </w:p>
    <w:p>
      <w:pPr>
        <w:spacing w:after="120"/>
      </w:pPr>
      <w:r>
        <w:rPr>
          <w:rFonts w:ascii="Arial" w:hAnsi="Arial"/>
          <w:b w:val="0"/>
          <w:sz w:val="24"/>
          <w:u w:val="none"/>
        </w:rPr>
        <w:t>Our designated person holds operational responsibility for safeguarding.</w:t>
      </w:r>
    </w:p>
    <w:p>
      <w:pPr>
        <w:spacing w:after="120"/>
      </w:pPr>
      <w:r>
        <w:rPr>
          <w:rFonts w:ascii="Arial" w:hAnsi="Arial"/>
          <w:b w:val="0"/>
          <w:sz w:val="24"/>
          <w:u w:val="none"/>
        </w:rPr>
        <w:t>The Designated Person acts as the organisational safeguarding lead and has responsibility for receiving, managing and escalating safeguarding concerns.</w:t>
      </w:r>
    </w:p>
    <w:p>
      <w:pPr>
        <w:spacing w:after="120"/>
      </w:pPr>
      <w:r>
        <w:rPr>
          <w:rFonts w:ascii="Arial" w:hAnsi="Arial"/>
          <w:b/>
          <w:sz w:val="24"/>
          <w:u w:val="none"/>
        </w:rPr>
        <w:t>Designated Person:</w:t>
      </w:r>
    </w:p>
    <w:p>
      <w:pPr>
        <w:spacing w:after="120"/>
      </w:pPr>
      <w:r>
        <w:rPr>
          <w:rFonts w:ascii="Arial" w:hAnsi="Arial"/>
          <w:b w:val="0"/>
          <w:sz w:val="24"/>
          <w:u w:val="none"/>
        </w:rPr>
        <w:t>Debbie Turner</w:t>
      </w:r>
    </w:p>
    <w:p>
      <w:pPr>
        <w:spacing w:after="120"/>
      </w:pPr>
      <w:r>
        <w:rPr>
          <w:rFonts w:ascii="Arial" w:hAnsi="Arial"/>
          <w:b w:val="0"/>
          <w:sz w:val="24"/>
          <w:u w:val="none"/>
        </w:rPr>
        <w:t>Tel: 078300 38707</w:t>
      </w:r>
    </w:p>
    <w:p>
      <w:pPr>
        <w:spacing w:after="120"/>
      </w:pPr>
      <w:r>
        <w:rPr>
          <w:rFonts w:ascii="Arial" w:hAnsi="Arial"/>
          <w:b w:val="0"/>
          <w:sz w:val="24"/>
          <w:u w:val="none"/>
        </w:rPr>
        <w:t>Email: info@squarepegsroundholes.org</w:t>
      </w:r>
    </w:p>
    <w:p>
      <w:pPr>
        <w:spacing w:after="120"/>
      </w:pPr>
      <w:r>
        <w:rPr>
          <w:rFonts w:ascii="Arial" w:hAnsi="Arial"/>
          <w:b/>
          <w:sz w:val="24"/>
          <w:u w:val="none"/>
        </w:rPr>
        <w:t>The deputy safeguarding lead:</w:t>
      </w:r>
    </w:p>
    <w:p>
      <w:pPr>
        <w:spacing w:after="120"/>
      </w:pPr>
      <w:r>
        <w:rPr>
          <w:rFonts w:ascii="Arial" w:hAnsi="Arial"/>
          <w:b w:val="0"/>
          <w:sz w:val="24"/>
          <w:u w:val="none"/>
        </w:rPr>
        <w:t>Angela Spence</w:t>
      </w:r>
    </w:p>
    <w:p>
      <w:pPr>
        <w:spacing w:after="120"/>
      </w:pPr>
      <w:r>
        <w:rPr>
          <w:rFonts w:ascii="Arial" w:hAnsi="Arial"/>
          <w:b w:val="0"/>
          <w:sz w:val="24"/>
          <w:u w:val="none"/>
        </w:rPr>
        <w:t>Tel: 07886258771</w:t>
      </w:r>
    </w:p>
    <w:p>
      <w:pPr>
        <w:spacing w:after="120"/>
      </w:pPr>
      <w:r>
        <w:rPr>
          <w:rFonts w:ascii="Arial" w:hAnsi="Arial"/>
          <w:b w:val="0"/>
          <w:sz w:val="24"/>
          <w:u w:val="none"/>
        </w:rPr>
        <w:t>Email: info.squarepegs@gmail.com</w:t>
      </w:r>
    </w:p>
    <w:p>
      <w:pPr>
        <w:pStyle w:val="Heading1"/>
        <w:spacing w:before="200" w:after="80"/>
      </w:pPr>
      <w:r>
        <w:rPr>
          <w:rFonts w:ascii="Arial" w:hAnsi="Arial"/>
          <w:b/>
          <w:sz w:val="24"/>
          <w:u w:val="none"/>
        </w:rPr>
        <w:t>Safer recruitment and raising awareness</w:t>
      </w:r>
    </w:p>
    <w:p>
      <w:pPr>
        <w:spacing w:after="120"/>
      </w:pPr>
      <w:r>
        <w:rPr>
          <w:rFonts w:ascii="Arial" w:hAnsi="Arial"/>
          <w:b w:val="0"/>
          <w:sz w:val="24"/>
          <w:u w:val="none"/>
        </w:rPr>
        <w:t>We are committed to safer recruitment procedures which include:</w:t>
      </w:r>
    </w:p>
    <w:p>
      <w:pPr>
        <w:pStyle w:val="ListBullet"/>
        <w:spacing w:after="40"/>
      </w:pPr>
      <w:r>
        <w:rPr>
          <w:rFonts w:ascii="Arial" w:hAnsi="Arial"/>
          <w:sz w:val="24"/>
        </w:rPr>
        <w:t>fair and thorough application processes</w:t>
      </w:r>
    </w:p>
    <w:p>
      <w:pPr>
        <w:pStyle w:val="ListBullet"/>
        <w:spacing w:after="40"/>
      </w:pPr>
      <w:r>
        <w:rPr>
          <w:rFonts w:ascii="Arial" w:hAnsi="Arial"/>
          <w:sz w:val="24"/>
        </w:rPr>
        <w:t>pre-recruitment checks which include identity verification, references and, where applicable, criminal record checks</w:t>
      </w:r>
    </w:p>
    <w:p>
      <w:pPr>
        <w:pStyle w:val="ListBullet"/>
        <w:spacing w:after="40"/>
      </w:pPr>
      <w:r>
        <w:rPr>
          <w:rFonts w:ascii="Arial" w:hAnsi="Arial"/>
          <w:sz w:val="24"/>
        </w:rPr>
        <w:t>providing effective supervision, training and support</w:t>
      </w:r>
    </w:p>
    <w:p>
      <w:pPr>
        <w:spacing w:after="120"/>
      </w:pPr>
      <w:r>
        <w:rPr>
          <w:rFonts w:ascii="Arial" w:hAnsi="Arial"/>
          <w:b w:val="0"/>
          <w:sz w:val="24"/>
          <w:u w:val="none"/>
        </w:rPr>
        <w:t>Safer recruitment practices comply with the Safeguarding Vulnerable Groups Act 2006, Disclosure and Barring Service (DBS) requirements, and the Rehabilitation of Offenders Act 1974.</w:t>
      </w:r>
    </w:p>
    <w:p>
      <w:pPr>
        <w:spacing w:after="120"/>
      </w:pPr>
      <w:r>
        <w:rPr>
          <w:rFonts w:ascii="Arial" w:hAnsi="Arial"/>
          <w:b w:val="0"/>
          <w:sz w:val="24"/>
          <w:u w:val="none"/>
        </w:rPr>
        <w:t>All staff will receive an induction which will include familiarisation with this Policy and individual safeguarding responsibilities.</w:t>
      </w:r>
    </w:p>
    <w:p>
      <w:pPr>
        <w:spacing w:after="120"/>
      </w:pPr>
      <w:r>
        <w:rPr>
          <w:rFonts w:ascii="Arial" w:hAnsi="Arial"/>
          <w:b w:val="0"/>
          <w:sz w:val="24"/>
          <w:u w:val="none"/>
        </w:rPr>
        <w:t>Safeguarding training will be role-appropriate, refreshed regularly, and updated in line with changes to legislation and guidance.</w:t>
      </w:r>
    </w:p>
    <w:p>
      <w:pPr>
        <w:pStyle w:val="Heading1"/>
        <w:spacing w:before="200" w:after="80"/>
      </w:pPr>
      <w:r>
        <w:rPr>
          <w:rFonts w:ascii="Arial" w:hAnsi="Arial"/>
          <w:b/>
          <w:sz w:val="24"/>
          <w:u w:val="none"/>
        </w:rPr>
        <w:t>Partnerships and commissioned services</w:t>
      </w:r>
    </w:p>
    <w:p>
      <w:pPr>
        <w:spacing w:after="120"/>
      </w:pPr>
      <w:r>
        <w:rPr>
          <w:rFonts w:ascii="Arial" w:hAnsi="Arial"/>
          <w:b w:val="0"/>
          <w:sz w:val="24"/>
          <w:u w:val="none"/>
        </w:rPr>
        <w:t>We will actively promote safeguarding within all partnerships and commissioned services by:</w:t>
      </w:r>
    </w:p>
    <w:p>
      <w:pPr>
        <w:pStyle w:val="ListBullet"/>
        <w:spacing w:after="40"/>
      </w:pPr>
      <w:r>
        <w:rPr>
          <w:rFonts w:ascii="Arial" w:hAnsi="Arial"/>
          <w:sz w:val="24"/>
        </w:rPr>
        <w:t>ensuring that safeguarding is a primary consideration</w:t>
      </w:r>
    </w:p>
    <w:p>
      <w:pPr>
        <w:pStyle w:val="ListBullet"/>
        <w:spacing w:after="40"/>
      </w:pPr>
      <w:r>
        <w:rPr>
          <w:rFonts w:ascii="Arial" w:hAnsi="Arial"/>
          <w:sz w:val="24"/>
        </w:rPr>
        <w:t>actively communicating our safeguarding policies and procedures to partners and service providers</w:t>
      </w:r>
    </w:p>
    <w:p>
      <w:pPr>
        <w:pStyle w:val="ListBullet"/>
        <w:spacing w:after="40"/>
      </w:pPr>
      <w:r>
        <w:rPr>
          <w:rFonts w:ascii="Arial" w:hAnsi="Arial"/>
          <w:sz w:val="24"/>
        </w:rPr>
        <w:t>assessing the suitability of partners and service providers and the adequacy of their safeguarding practice</w:t>
      </w:r>
    </w:p>
    <w:p>
      <w:pPr>
        <w:pStyle w:val="ListBullet"/>
        <w:spacing w:after="40"/>
      </w:pPr>
      <w:r>
        <w:rPr>
          <w:rFonts w:ascii="Arial" w:hAnsi="Arial"/>
          <w:sz w:val="24"/>
        </w:rPr>
        <w:t>ensuring that contractual agreements outline respective safeguarding responsibilities</w:t>
      </w:r>
    </w:p>
    <w:p>
      <w:pPr>
        <w:spacing w:after="120"/>
      </w:pPr>
      <w:r>
        <w:rPr>
          <w:rFonts w:ascii="Arial" w:hAnsi="Arial"/>
          <w:b w:val="0"/>
          <w:sz w:val="24"/>
          <w:u w:val="none"/>
        </w:rPr>
        <w:t>Where safeguarding concerns arise within partner organisations, Square Pegs Round Holes CIC retains the right to take action to safeguard individuals if appropriate steps are not taken.</w:t>
      </w:r>
    </w:p>
    <w:p>
      <w:pPr>
        <w:pStyle w:val="Heading1"/>
        <w:spacing w:before="200" w:after="80"/>
      </w:pPr>
      <w:r>
        <w:rPr>
          <w:rFonts w:ascii="Arial" w:hAnsi="Arial"/>
          <w:b/>
          <w:sz w:val="24"/>
          <w:u w:val="none"/>
        </w:rPr>
        <w:t>Responsibilities</w:t>
      </w:r>
    </w:p>
    <w:p>
      <w:pPr>
        <w:spacing w:after="120"/>
      </w:pPr>
      <w:r>
        <w:rPr>
          <w:rFonts w:ascii="Arial" w:hAnsi="Arial"/>
          <w:b w:val="0"/>
          <w:sz w:val="24"/>
          <w:u w:val="none"/>
        </w:rPr>
        <w:t>Staff are expected to:</w:t>
      </w:r>
    </w:p>
    <w:p>
      <w:pPr>
        <w:pStyle w:val="ListBullet"/>
        <w:spacing w:after="40"/>
      </w:pPr>
      <w:r>
        <w:rPr>
          <w:rFonts w:ascii="Arial" w:hAnsi="Arial"/>
          <w:sz w:val="24"/>
        </w:rPr>
        <w:t>familiarise themselves with this Policy</w:t>
      </w:r>
    </w:p>
    <w:p>
      <w:pPr>
        <w:pStyle w:val="ListBullet"/>
        <w:spacing w:after="40"/>
      </w:pPr>
      <w:r>
        <w:rPr>
          <w:rFonts w:ascii="Arial" w:hAnsi="Arial"/>
          <w:sz w:val="24"/>
        </w:rPr>
        <w:t>know who the Designated Person is and how to contact them</w:t>
      </w:r>
    </w:p>
    <w:p>
      <w:pPr>
        <w:pStyle w:val="ListBullet"/>
        <w:spacing w:after="40"/>
      </w:pPr>
      <w:r>
        <w:rPr>
          <w:rFonts w:ascii="Arial" w:hAnsi="Arial"/>
          <w:sz w:val="24"/>
        </w:rPr>
        <w:t>ensure the safety of children, young people and adults at all times</w:t>
      </w:r>
    </w:p>
    <w:p>
      <w:pPr>
        <w:pStyle w:val="ListBullet"/>
        <w:spacing w:after="40"/>
      </w:pPr>
      <w:r>
        <w:rPr>
          <w:rFonts w:ascii="Arial" w:hAnsi="Arial"/>
          <w:sz w:val="24"/>
        </w:rPr>
        <w:t>always act in the best interests of children, young people and adults</w:t>
      </w:r>
    </w:p>
    <w:p>
      <w:pPr>
        <w:pStyle w:val="ListBullet"/>
        <w:spacing w:after="40"/>
      </w:pPr>
      <w:r>
        <w:rPr>
          <w:rFonts w:ascii="Arial" w:hAnsi="Arial"/>
          <w:sz w:val="24"/>
        </w:rPr>
        <w:t>build professional relationships based on trust and respect</w:t>
      </w:r>
    </w:p>
    <w:p>
      <w:pPr>
        <w:pStyle w:val="ListBullet"/>
        <w:spacing w:after="40"/>
      </w:pPr>
      <w:r>
        <w:rPr>
          <w:rFonts w:ascii="Arial" w:hAnsi="Arial"/>
          <w:sz w:val="24"/>
        </w:rPr>
        <w:t>maintain appropriate professional boundaries</w:t>
      </w:r>
    </w:p>
    <w:p>
      <w:pPr>
        <w:pStyle w:val="ListBullet"/>
        <w:spacing w:after="40"/>
      </w:pPr>
      <w:r>
        <w:rPr>
          <w:rFonts w:ascii="Arial" w:hAnsi="Arial"/>
          <w:sz w:val="24"/>
        </w:rPr>
        <w:t>treat all individuals equally with dignity and fairness</w:t>
      </w:r>
    </w:p>
    <w:p>
      <w:pPr>
        <w:pStyle w:val="ListBullet"/>
        <w:spacing w:after="40"/>
      </w:pPr>
      <w:r>
        <w:rPr>
          <w:rFonts w:ascii="Arial" w:hAnsi="Arial"/>
          <w:sz w:val="24"/>
        </w:rPr>
        <w:t>respect views, wishes and feelings</w:t>
      </w:r>
    </w:p>
    <w:p>
      <w:pPr>
        <w:pStyle w:val="ListBullet"/>
        <w:spacing w:after="40"/>
      </w:pPr>
      <w:r>
        <w:rPr>
          <w:rFonts w:ascii="Arial" w:hAnsi="Arial"/>
          <w:sz w:val="24"/>
        </w:rPr>
        <w:t>recognise developmental needs and capacity</w:t>
      </w:r>
    </w:p>
    <w:p>
      <w:pPr>
        <w:pStyle w:val="ListBullet"/>
        <w:spacing w:after="40"/>
      </w:pPr>
      <w:r>
        <w:rPr>
          <w:rFonts w:ascii="Arial" w:hAnsi="Arial"/>
          <w:sz w:val="24"/>
        </w:rPr>
        <w:t>record and report safeguarding concerns promptly via safeguarding log and appropriate audit trails</w:t>
      </w:r>
    </w:p>
    <w:p>
      <w:pPr>
        <w:spacing w:after="120"/>
      </w:pPr>
      <w:r>
        <w:rPr>
          <w:rFonts w:ascii="Arial" w:hAnsi="Arial"/>
          <w:b w:val="0"/>
          <w:sz w:val="24"/>
          <w:u w:val="none"/>
        </w:rPr>
        <w:t>Staff have a duty to share safeguarding concerns without delay in line with statutory guidance and internal procedures.</w:t>
      </w:r>
    </w:p>
    <w:p>
      <w:pPr>
        <w:spacing w:after="120"/>
      </w:pPr>
      <w:r>
        <w:rPr>
          <w:rFonts w:ascii="Arial" w:hAnsi="Arial"/>
          <w:b w:val="0"/>
          <w:sz w:val="24"/>
          <w:u w:val="none"/>
        </w:rPr>
        <w:t>Staff should never:</w:t>
      </w:r>
    </w:p>
    <w:p>
      <w:pPr>
        <w:pStyle w:val="ListBullet"/>
        <w:spacing w:after="40"/>
      </w:pPr>
      <w:r>
        <w:rPr>
          <w:rFonts w:ascii="Arial" w:hAnsi="Arial"/>
          <w:sz w:val="24"/>
        </w:rPr>
        <w:t>misuse their position of trust</w:t>
      </w:r>
    </w:p>
    <w:p>
      <w:pPr>
        <w:pStyle w:val="ListBullet"/>
        <w:spacing w:after="40"/>
      </w:pPr>
      <w:r>
        <w:rPr>
          <w:rFonts w:ascii="Arial" w:hAnsi="Arial"/>
          <w:sz w:val="24"/>
        </w:rPr>
        <w:t>form inappropriate or exploitative relationships</w:t>
      </w:r>
    </w:p>
    <w:p>
      <w:pPr>
        <w:pStyle w:val="ListBullet"/>
        <w:spacing w:after="40"/>
      </w:pPr>
      <w:r>
        <w:rPr>
          <w:rFonts w:ascii="Arial" w:hAnsi="Arial"/>
          <w:sz w:val="24"/>
        </w:rPr>
        <w:t>access or share safeguarding information inappropriately</w:t>
      </w:r>
    </w:p>
    <w:p>
      <w:pPr>
        <w:pStyle w:val="ListBullet"/>
        <w:spacing w:after="40"/>
      </w:pPr>
      <w:r>
        <w:rPr>
          <w:rFonts w:ascii="Arial" w:hAnsi="Arial"/>
          <w:sz w:val="24"/>
        </w:rPr>
        <w:t>work while under the influence of alcohol or drugs</w:t>
      </w:r>
    </w:p>
    <w:p>
      <w:pPr>
        <w:pStyle w:val="ListBullet"/>
        <w:spacing w:after="40"/>
      </w:pPr>
      <w:r>
        <w:rPr>
          <w:rFonts w:ascii="Arial" w:hAnsi="Arial"/>
          <w:sz w:val="24"/>
        </w:rPr>
        <w:t>engage in behaviour that may place individuals at risk</w:t>
      </w:r>
    </w:p>
    <w:p>
      <w:pPr>
        <w:pStyle w:val="Heading1"/>
        <w:spacing w:before="200" w:after="80"/>
      </w:pPr>
      <w:r>
        <w:rPr>
          <w:rFonts w:ascii="Arial" w:hAnsi="Arial"/>
          <w:b/>
          <w:sz w:val="24"/>
          <w:u w:val="none"/>
        </w:rPr>
        <w:t>Raising concerns, complaints and whistleblowing</w:t>
      </w:r>
    </w:p>
    <w:p>
      <w:pPr>
        <w:spacing w:after="120"/>
      </w:pPr>
      <w:r>
        <w:rPr>
          <w:rFonts w:ascii="Arial" w:hAnsi="Arial"/>
          <w:b w:val="0"/>
          <w:sz w:val="24"/>
          <w:u w:val="none"/>
        </w:rPr>
        <w:t>Square Pegs Round Holes CIC promotes an open culture in which safeguarding concerns can be raised and will be taken seriously. Staff, volunteers, participants, parents/carers and partners should be able to raise safeguarding concerns without fear of reprisal.</w:t>
      </w:r>
    </w:p>
    <w:p>
      <w:pPr>
        <w:spacing w:after="120"/>
      </w:pPr>
      <w:r>
        <w:rPr>
          <w:rFonts w:ascii="Arial" w:hAnsi="Arial"/>
          <w:b w:val="0"/>
          <w:sz w:val="24"/>
          <w:u w:val="none"/>
        </w:rPr>
        <w:t>Concerns regarding the conduct of staff, directors or organisational safeguarding practice may also be raised through the organisation’s complaints and whistleblowing procedures. Where a concern relates to the Designated Person, it should be raised with the deputy safeguarding lead or another appropriate director. Where appropriate, concerns may also be raised with the relevant external authority or regulator.</w:t>
      </w:r>
    </w:p>
    <w:p>
      <w:pPr>
        <w:pStyle w:val="Heading1"/>
        <w:spacing w:before="200" w:after="80"/>
      </w:pPr>
      <w:r>
        <w:rPr>
          <w:rFonts w:ascii="Arial" w:hAnsi="Arial"/>
          <w:b/>
          <w:sz w:val="24"/>
          <w:u w:val="none"/>
        </w:rPr>
        <w:t>Dealing with a disclosure</w:t>
      </w:r>
    </w:p>
    <w:p>
      <w:pPr>
        <w:spacing w:after="120"/>
      </w:pPr>
      <w:r>
        <w:rPr>
          <w:rFonts w:ascii="Arial" w:hAnsi="Arial"/>
          <w:b w:val="0"/>
          <w:sz w:val="24"/>
          <w:u w:val="none"/>
        </w:rPr>
        <w:t>If a child, young person or adult at risk discloses abuse or harm, immediate safety will be prioritised and appropriate action taken.</w:t>
      </w:r>
    </w:p>
    <w:p>
      <w:pPr>
        <w:spacing w:after="120"/>
      </w:pPr>
      <w:r>
        <w:rPr>
          <w:rFonts w:ascii="Arial" w:hAnsi="Arial"/>
          <w:b w:val="0"/>
          <w:sz w:val="24"/>
          <w:u w:val="none"/>
        </w:rPr>
        <w:t>Square Pegs Round Holes CIC will not investigate safeguarding allegations but will ensure concerns are reported promptly to the appropriate safeguarding authorities.</w:t>
      </w:r>
    </w:p>
    <w:p>
      <w:pPr>
        <w:spacing w:after="120"/>
      </w:pPr>
      <w:r>
        <w:rPr>
          <w:rFonts w:ascii="Arial" w:hAnsi="Arial"/>
          <w:b w:val="0"/>
          <w:sz w:val="24"/>
          <w:u w:val="none"/>
        </w:rPr>
        <w:t>Individuals will be informed, where appropriate, about what will happen next and how their information will be used.</w:t>
      </w:r>
    </w:p>
    <w:p>
      <w:pPr>
        <w:pStyle w:val="Heading1"/>
        <w:spacing w:before="200" w:after="80"/>
      </w:pPr>
      <w:r>
        <w:rPr>
          <w:rFonts w:ascii="Arial" w:hAnsi="Arial"/>
          <w:b/>
          <w:sz w:val="24"/>
          <w:u w:val="none"/>
        </w:rPr>
        <w:t>Recording and reporting safeguarding concerns</w:t>
      </w:r>
    </w:p>
    <w:p>
      <w:pPr>
        <w:spacing w:after="120"/>
      </w:pPr>
      <w:r>
        <w:rPr>
          <w:rFonts w:ascii="Arial" w:hAnsi="Arial"/>
          <w:b w:val="0"/>
          <w:sz w:val="24"/>
          <w:u w:val="none"/>
        </w:rPr>
        <w:t>All safeguarding concerns will be taken seriously and handled confidentially.</w:t>
      </w:r>
    </w:p>
    <w:p>
      <w:pPr>
        <w:spacing w:after="120"/>
      </w:pPr>
      <w:r>
        <w:rPr>
          <w:rFonts w:ascii="Arial" w:hAnsi="Arial"/>
          <w:b w:val="0"/>
          <w:sz w:val="24"/>
          <w:u w:val="none"/>
        </w:rPr>
        <w:t>Records will be factual, accurate and stored securely.</w:t>
      </w:r>
    </w:p>
    <w:p>
      <w:pPr>
        <w:spacing w:after="120"/>
      </w:pPr>
      <w:r>
        <w:rPr>
          <w:rFonts w:ascii="Arial" w:hAnsi="Arial"/>
          <w:b w:val="0"/>
          <w:sz w:val="24"/>
          <w:u w:val="none"/>
        </w:rPr>
        <w:t>Information sharing will be carried out in accordance with the UK GDPR, Data Protection Act 2018, and Information Sharing Advice for Safeguarding Practitioners (HM Government).</w:t>
      </w:r>
    </w:p>
    <w:p>
      <w:pPr>
        <w:pStyle w:val="Heading1"/>
        <w:spacing w:before="200" w:after="80"/>
      </w:pPr>
      <w:r>
        <w:rPr>
          <w:rFonts w:ascii="Arial" w:hAnsi="Arial"/>
          <w:b/>
          <w:sz w:val="24"/>
          <w:u w:val="none"/>
        </w:rPr>
        <w:t>Referrals</w:t>
      </w:r>
    </w:p>
    <w:p>
      <w:pPr>
        <w:spacing w:after="120"/>
      </w:pPr>
      <w:r>
        <w:rPr>
          <w:rFonts w:ascii="Arial" w:hAnsi="Arial"/>
          <w:b w:val="0"/>
          <w:sz w:val="24"/>
          <w:u w:val="none"/>
        </w:rPr>
        <w:t>Safeguarding concerns will be referred, as appropriate, to the relevant commissioning partner and/or statutory safeguarding agency. This may include local authority children’s social care, the Local Authority Designated Officer (LADO) where the concern relates to an adult working with children, adult safeguarding services, the police or another relevant authority or regulator.</w:t>
      </w:r>
    </w:p>
    <w:p>
      <w:pPr>
        <w:spacing w:after="120"/>
      </w:pPr>
      <w:r>
        <w:rPr>
          <w:rFonts w:ascii="Arial" w:hAnsi="Arial"/>
          <w:b w:val="0"/>
          <w:sz w:val="24"/>
          <w:u w:val="none"/>
        </w:rPr>
        <w:t>Referrals will be made without unnecessary delay where a safeguarding concern is suspected or identified. Square Pegs Round Holes CIC will follow relevant local safeguarding partnership procedures in the area in which services are delivered.</w:t>
      </w:r>
    </w:p>
    <w:p>
      <w:pPr>
        <w:pStyle w:val="Heading1"/>
        <w:spacing w:before="200" w:after="80"/>
      </w:pPr>
      <w:r>
        <w:rPr>
          <w:rFonts w:ascii="Arial" w:hAnsi="Arial"/>
          <w:b/>
          <w:sz w:val="24"/>
          <w:u w:val="none"/>
        </w:rPr>
        <w:t>Serious incident reporting</w:t>
      </w:r>
    </w:p>
    <w:p>
      <w:pPr>
        <w:spacing w:after="120"/>
      </w:pPr>
      <w:r>
        <w:rPr>
          <w:rFonts w:ascii="Arial" w:hAnsi="Arial"/>
          <w:b w:val="0"/>
          <w:sz w:val="24"/>
          <w:u w:val="none"/>
        </w:rPr>
        <w:t>Where a safeguarding matter results in, or risks, significant harm and meets the relevant reporting threshold, consideration will be given to whether the incident must be reported to the Charity Commission as a serious incident if Square Pegs Round Holes CIC is subject to Charity Commission reporting requirements at that time.</w:t>
      </w:r>
    </w:p>
    <w:p>
      <w:pPr>
        <w:spacing w:after="120"/>
      </w:pPr>
      <w:r>
        <w:rPr>
          <w:rFonts w:ascii="Arial" w:hAnsi="Arial"/>
          <w:b w:val="0"/>
          <w:sz w:val="24"/>
          <w:u w:val="none"/>
        </w:rPr>
        <w:t>Any required report will be made promptly and will not replace referrals or reports to the police, local authority safeguarding services, DBS or any other relevant statutory agency or regulator.</w:t>
      </w:r>
    </w:p>
    <w:p>
      <w:pPr>
        <w:pStyle w:val="Heading1"/>
        <w:spacing w:before="200" w:after="80"/>
      </w:pPr>
      <w:r>
        <w:rPr>
          <w:rFonts w:ascii="Arial" w:hAnsi="Arial"/>
          <w:b/>
          <w:sz w:val="24"/>
          <w:u w:val="none"/>
        </w:rPr>
        <w:t>Disclosure and Barring Service (DBS)</w:t>
      </w:r>
    </w:p>
    <w:p>
      <w:pPr>
        <w:spacing w:after="120"/>
      </w:pPr>
      <w:r>
        <w:rPr>
          <w:rFonts w:ascii="Arial" w:hAnsi="Arial"/>
          <w:b w:val="0"/>
          <w:sz w:val="24"/>
          <w:u w:val="none"/>
        </w:rPr>
        <w:t>Referrals to the DBS will be made when an individual has been removed from regulated activity due to safeguarding concerns and the statutory referral criteria are met.</w:t>
      </w:r>
    </w:p>
    <w:p>
      <w:pPr>
        <w:spacing w:after="120"/>
      </w:pPr>
      <w:r>
        <w:rPr>
          <w:rFonts w:ascii="Arial" w:hAnsi="Arial"/>
          <w:b w:val="0"/>
          <w:sz w:val="24"/>
          <w:u w:val="none"/>
        </w:rPr>
        <w:t>This is in accordance with the Safeguarding Vulnerable Groups Act 2006 and DBS referral guidance.</w:t>
      </w:r>
    </w:p>
    <w:p>
      <w:pPr>
        <w:pStyle w:val="Heading1"/>
        <w:spacing w:before="200" w:after="80"/>
      </w:pPr>
      <w:r>
        <w:rPr>
          <w:rFonts w:ascii="Arial" w:hAnsi="Arial"/>
          <w:b/>
          <w:sz w:val="24"/>
          <w:u w:val="none"/>
        </w:rPr>
        <w:t>Data protection</w:t>
      </w:r>
    </w:p>
    <w:p>
      <w:pPr>
        <w:spacing w:after="120"/>
      </w:pPr>
      <w:r>
        <w:rPr>
          <w:rFonts w:ascii="Arial" w:hAnsi="Arial"/>
          <w:b w:val="0"/>
          <w:sz w:val="24"/>
          <w:u w:val="none"/>
        </w:rPr>
        <w:t>We will maintain confidentiality of all safeguarding-related information.</w:t>
      </w:r>
    </w:p>
    <w:p>
      <w:pPr>
        <w:spacing w:after="120"/>
      </w:pPr>
      <w:r>
        <w:rPr>
          <w:rFonts w:ascii="Arial" w:hAnsi="Arial"/>
          <w:b w:val="0"/>
          <w:sz w:val="24"/>
          <w:u w:val="none"/>
        </w:rPr>
        <w:t>Personal data will be processed lawfully, fairly and securely in line with the UK GDPR and Data Protection Act 2018.</w:t>
      </w:r>
    </w:p>
    <w:p>
      <w:pPr>
        <w:pStyle w:val="Heading1"/>
        <w:spacing w:before="200" w:after="80"/>
      </w:pPr>
      <w:r>
        <w:rPr>
          <w:rFonts w:ascii="Arial" w:hAnsi="Arial"/>
          <w:b/>
          <w:sz w:val="24"/>
          <w:u w:val="none"/>
        </w:rPr>
        <w:t>Listening culture</w:t>
      </w:r>
    </w:p>
    <w:p>
      <w:pPr>
        <w:spacing w:after="120"/>
      </w:pPr>
      <w:r>
        <w:rPr>
          <w:rFonts w:ascii="Arial" w:hAnsi="Arial"/>
          <w:b w:val="0"/>
          <w:sz w:val="24"/>
          <w:u w:val="none"/>
        </w:rPr>
        <w:t>We believe that safeguarding should be person-led and outcome-focused.</w:t>
      </w:r>
    </w:p>
    <w:p>
      <w:pPr>
        <w:spacing w:after="120"/>
      </w:pPr>
      <w:r>
        <w:rPr>
          <w:rFonts w:ascii="Arial" w:hAnsi="Arial"/>
          <w:b w:val="0"/>
          <w:sz w:val="24"/>
          <w:u w:val="none"/>
        </w:rPr>
        <w:t>This reflects the principles of Making Safeguarding Personal and the rights of children and adults to be heard and involved in decisions that affect them.</w:t>
      </w:r>
    </w:p>
    <w:p>
      <w:pPr>
        <w:pStyle w:val="Heading1"/>
        <w:spacing w:before="200" w:after="80"/>
      </w:pPr>
      <w:r>
        <w:rPr>
          <w:rFonts w:ascii="Arial" w:hAnsi="Arial"/>
          <w:b/>
          <w:sz w:val="24"/>
          <w:u w:val="none"/>
        </w:rPr>
        <w:t>Communication, photography and interviews</w:t>
      </w:r>
    </w:p>
    <w:p>
      <w:pPr>
        <w:spacing w:after="120"/>
      </w:pPr>
      <w:r>
        <w:rPr>
          <w:rFonts w:ascii="Arial" w:hAnsi="Arial"/>
          <w:b w:val="0"/>
          <w:sz w:val="24"/>
          <w:u w:val="none"/>
        </w:rPr>
        <w:t>All communication, photography, filming and interviewing will remain within professional boundaries and require informed consent.</w:t>
      </w:r>
    </w:p>
    <w:p>
      <w:pPr>
        <w:spacing w:after="120"/>
      </w:pPr>
      <w:r>
        <w:rPr>
          <w:rFonts w:ascii="Arial" w:hAnsi="Arial"/>
          <w:b w:val="0"/>
          <w:sz w:val="24"/>
          <w:u w:val="none"/>
        </w:rPr>
        <w:t>Digital safeguarding risks, including online harm and misuse of technology, will be actively considered and managed.</w:t>
      </w:r>
    </w:p>
    <w:p>
      <w:pPr>
        <w:pStyle w:val="Heading1"/>
        <w:spacing w:before="200" w:after="80"/>
      </w:pPr>
      <w:r>
        <w:rPr>
          <w:rFonts w:ascii="Arial" w:hAnsi="Arial"/>
          <w:b/>
          <w:sz w:val="24"/>
          <w:u w:val="none"/>
        </w:rPr>
        <w:t>Appendix A – Key Legislation and Statutory Guidance</w:t>
      </w:r>
    </w:p>
    <w:p>
      <w:pPr>
        <w:spacing w:after="120"/>
      </w:pPr>
      <w:r>
        <w:rPr>
          <w:rFonts w:ascii="Arial" w:hAnsi="Arial"/>
          <w:b w:val="0"/>
          <w:sz w:val="24"/>
          <w:u w:val="none"/>
        </w:rPr>
        <w:t>This policy is informed by, but not limited to, the following legislation and guidance:</w:t>
      </w:r>
    </w:p>
    <w:p>
      <w:pPr>
        <w:pStyle w:val="ListBullet"/>
        <w:spacing w:after="40"/>
      </w:pPr>
      <w:r>
        <w:rPr>
          <w:rFonts w:ascii="Arial" w:hAnsi="Arial"/>
          <w:sz w:val="24"/>
        </w:rPr>
        <w:t>Children Act 1989</w:t>
      </w:r>
    </w:p>
    <w:p>
      <w:pPr>
        <w:pStyle w:val="ListBullet"/>
        <w:spacing w:after="40"/>
      </w:pPr>
      <w:r>
        <w:rPr>
          <w:rFonts w:ascii="Arial" w:hAnsi="Arial"/>
          <w:sz w:val="24"/>
        </w:rPr>
        <w:t>Children Act 2004</w:t>
      </w:r>
    </w:p>
    <w:p>
      <w:pPr>
        <w:pStyle w:val="ListBullet"/>
        <w:spacing w:after="40"/>
      </w:pPr>
      <w:r>
        <w:rPr>
          <w:rFonts w:ascii="Arial" w:hAnsi="Arial"/>
          <w:sz w:val="24"/>
        </w:rPr>
        <w:t>Care Act 2014</w:t>
      </w:r>
    </w:p>
    <w:p>
      <w:pPr>
        <w:pStyle w:val="ListBullet"/>
        <w:spacing w:after="40"/>
      </w:pPr>
      <w:r>
        <w:rPr>
          <w:rFonts w:ascii="Arial" w:hAnsi="Arial"/>
          <w:sz w:val="24"/>
        </w:rPr>
        <w:t>Working Together to Safeguard Children (HM Government)</w:t>
      </w:r>
    </w:p>
    <w:p>
      <w:pPr>
        <w:pStyle w:val="ListBullet"/>
        <w:spacing w:after="40"/>
      </w:pPr>
      <w:r>
        <w:rPr>
          <w:rFonts w:ascii="Arial" w:hAnsi="Arial"/>
          <w:sz w:val="24"/>
        </w:rPr>
        <w:t>Care and Support Statutory Guidance</w:t>
      </w:r>
    </w:p>
    <w:p>
      <w:pPr>
        <w:pStyle w:val="ListBullet"/>
        <w:spacing w:after="40"/>
      </w:pPr>
      <w:r>
        <w:rPr>
          <w:rFonts w:ascii="Arial" w:hAnsi="Arial"/>
          <w:sz w:val="24"/>
        </w:rPr>
        <w:t>Safeguarding Vulnerable Groups Act 2006</w:t>
      </w:r>
    </w:p>
    <w:p>
      <w:pPr>
        <w:pStyle w:val="ListBullet"/>
        <w:spacing w:after="40"/>
      </w:pPr>
      <w:r>
        <w:rPr>
          <w:rFonts w:ascii="Arial" w:hAnsi="Arial"/>
          <w:sz w:val="24"/>
        </w:rPr>
        <w:t>Disclosure and Barring Service (DBS) Guidance</w:t>
      </w:r>
    </w:p>
    <w:p>
      <w:pPr>
        <w:pStyle w:val="ListBullet"/>
        <w:spacing w:after="40"/>
      </w:pPr>
      <w:r>
        <w:rPr>
          <w:rFonts w:ascii="Arial" w:hAnsi="Arial"/>
          <w:sz w:val="24"/>
        </w:rPr>
        <w:t>Data Protection Act 2018 and UK GDPR</w:t>
      </w:r>
    </w:p>
    <w:p>
      <w:pPr>
        <w:pStyle w:val="ListBullet"/>
        <w:spacing w:after="40"/>
      </w:pPr>
      <w:r>
        <w:rPr>
          <w:rFonts w:ascii="Arial" w:hAnsi="Arial"/>
          <w:sz w:val="24"/>
        </w:rPr>
        <w:t>Information Sharing Advice for Safeguarding Practitioners</w:t>
      </w:r>
    </w:p>
    <w:p>
      <w:pPr>
        <w:pStyle w:val="ListBullet"/>
        <w:spacing w:after="40"/>
      </w:pPr>
      <w:r>
        <w:rPr>
          <w:rFonts w:ascii="Arial" w:hAnsi="Arial"/>
          <w:sz w:val="24"/>
        </w:rPr>
        <w:t>United Nations Convention on the Rights of the Child (UNCRC)</w:t>
      </w:r>
    </w:p>
    <w:p>
      <w:pPr>
        <w:pStyle w:val="ListBullet"/>
        <w:spacing w:after="40"/>
      </w:pPr>
      <w:r>
        <w:rPr>
          <w:rFonts w:ascii="Arial" w:hAnsi="Arial"/>
          <w:sz w:val="24"/>
        </w:rPr>
        <w:t>Charity Commission: Safeguarding and protecting people for charities and trustees</w:t>
      </w:r>
    </w:p>
    <w:p>
      <w:pPr>
        <w:pStyle w:val="ListBullet"/>
        <w:spacing w:after="40"/>
      </w:pPr>
      <w:r>
        <w:rPr>
          <w:rFonts w:ascii="Arial" w:hAnsi="Arial"/>
          <w:sz w:val="24"/>
        </w:rPr>
        <w:t>Charity Commission: How to report a serious incident in your charity</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8"/>
      </w:rPr>
      <w:t xml:space="preserve">Page </w:t>
    </w:r>
    <w:fldSimple w:instr="PAGE"/>
    <w:r>
      <w:rPr>
        <w:rFonts w:ascii="Arial" w:hAnsi="Arial"/>
        <w:sz w:val="18"/>
      </w:rPr>
      <w:t xml:space="preserve"> | Square Pegs Round Holes CIC – Safeguarding Policy V3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4"/>
      <w:szCs w:val="28"/>
      <w:u w:val="none"/>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u w:val="none"/>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24"/>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